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2517E" w14:textId="77777777" w:rsidR="00E06B2B" w:rsidRPr="00DE4A36" w:rsidRDefault="00E06B2B" w:rsidP="00E06B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81D27F1" w14:textId="6D6C7BD3" w:rsidR="00E06B2B" w:rsidRPr="00DE4A36" w:rsidRDefault="00E06B2B" w:rsidP="00E06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Rani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October </w:t>
      </w:r>
      <w:r w:rsidR="008F5A8D">
        <w:rPr>
          <w:rFonts w:ascii="Times New Roman" w:eastAsia="Times New Roman" w:hAnsi="Times New Roman" w:cs="Times New Roman"/>
        </w:rPr>
        <w:t>27</w:t>
      </w:r>
      <w:r w:rsidRPr="00DE4A36">
        <w:rPr>
          <w:rFonts w:ascii="Times New Roman" w:eastAsia="Times New Roman" w:hAnsi="Times New Roman" w:cs="Times New Roman"/>
        </w:rPr>
        <w:t>–</w:t>
      </w:r>
      <w:r w:rsidR="008F5A8D">
        <w:rPr>
          <w:rFonts w:ascii="Times New Roman" w:eastAsia="Times New Roman" w:hAnsi="Times New Roman" w:cs="Times New Roman"/>
        </w:rPr>
        <w:t>31</w:t>
      </w:r>
      <w:r w:rsidRPr="00DE4A36">
        <w:rPr>
          <w:rFonts w:ascii="Times New Roman" w:eastAsia="Times New Roman" w:hAnsi="Times New Roman" w:cs="Times New Roman"/>
        </w:rPr>
        <w:t>, 2025</w:t>
      </w:r>
      <w:r w:rsidRPr="00DE4A36">
        <w:rPr>
          <w:rFonts w:ascii="Times New Roman" w:eastAsia="Times New Roman" w:hAnsi="Times New Roman" w:cs="Times New Roman"/>
        </w:rPr>
        <w:br/>
      </w:r>
    </w:p>
    <w:p w14:paraId="0D3E7549" w14:textId="77777777" w:rsidR="00E90711" w:rsidRPr="00B018E2" w:rsidRDefault="00E90711" w:rsidP="00E9071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161"/>
        <w:gridCol w:w="161"/>
        <w:gridCol w:w="160"/>
        <w:gridCol w:w="160"/>
        <w:gridCol w:w="30"/>
        <w:gridCol w:w="1573"/>
        <w:gridCol w:w="1663"/>
        <w:gridCol w:w="1664"/>
        <w:gridCol w:w="1956"/>
        <w:gridCol w:w="1585"/>
        <w:gridCol w:w="1703"/>
        <w:gridCol w:w="1756"/>
        <w:gridCol w:w="1652"/>
      </w:tblGrid>
      <w:tr w:rsidR="00E90711" w:rsidRPr="00B018E2" w14:paraId="4A311939" w14:textId="77777777" w:rsidTr="00A66E0F">
        <w:trPr>
          <w:gridAfter w:val="9"/>
          <w:tblCellSpacing w:w="15" w:type="dxa"/>
        </w:trPr>
        <w:tc>
          <w:tcPr>
            <w:tcW w:w="0" w:type="auto"/>
            <w:vAlign w:val="center"/>
          </w:tcPr>
          <w:p w14:paraId="302620E0" w14:textId="77777777" w:rsidR="00E90711" w:rsidRPr="00B018E2" w:rsidRDefault="00E90711" w:rsidP="00A66E0F"/>
        </w:tc>
        <w:tc>
          <w:tcPr>
            <w:tcW w:w="0" w:type="auto"/>
            <w:vAlign w:val="center"/>
          </w:tcPr>
          <w:p w14:paraId="41C8036C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31381C1A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509AF16E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632CD696" w14:textId="77777777" w:rsidR="00E90711" w:rsidRPr="00B018E2" w:rsidRDefault="00E90711" w:rsidP="00A66E0F"/>
        </w:tc>
      </w:tr>
      <w:tr w:rsidR="001B3466" w:rsidRPr="00B018E2" w14:paraId="5DFE61DC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AD5B429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36D4D75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3413CB2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8C26589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4BE0FB0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Focused Instruction (I DO – 10 min)</w:t>
            </w:r>
          </w:p>
        </w:tc>
        <w:tc>
          <w:tcPr>
            <w:tcW w:w="0" w:type="auto"/>
            <w:vAlign w:val="center"/>
            <w:hideMark/>
          </w:tcPr>
          <w:p w14:paraId="7A6CA162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Guided Instruction (WE DO – 10 min)</w:t>
            </w:r>
          </w:p>
        </w:tc>
        <w:tc>
          <w:tcPr>
            <w:tcW w:w="0" w:type="auto"/>
            <w:vAlign w:val="center"/>
            <w:hideMark/>
          </w:tcPr>
          <w:p w14:paraId="347833A0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Collaborative Learning (Y’ALL DO – 10 min)</w:t>
            </w:r>
          </w:p>
        </w:tc>
        <w:tc>
          <w:tcPr>
            <w:tcW w:w="0" w:type="auto"/>
            <w:vAlign w:val="center"/>
            <w:hideMark/>
          </w:tcPr>
          <w:p w14:paraId="026140E5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Independent Learning (YOU DO – 10 min)</w:t>
            </w:r>
          </w:p>
        </w:tc>
        <w:tc>
          <w:tcPr>
            <w:tcW w:w="0" w:type="auto"/>
            <w:vAlign w:val="center"/>
            <w:hideMark/>
          </w:tcPr>
          <w:p w14:paraId="68033468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Closing (5 min)</w:t>
            </w:r>
          </w:p>
        </w:tc>
      </w:tr>
      <w:tr w:rsidR="001B3466" w:rsidRPr="00B018E2" w14:paraId="1DB67B7F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2FD0ADE" w14:textId="77777777" w:rsidR="00B018E2" w:rsidRPr="00B018E2" w:rsidRDefault="00B018E2" w:rsidP="00B018E2">
            <w:r w:rsidRPr="00B018E2">
              <w:rPr>
                <w:b/>
                <w:bCs/>
              </w:rPr>
              <w:t>Mon (10/27)</w:t>
            </w:r>
          </w:p>
        </w:tc>
        <w:tc>
          <w:tcPr>
            <w:tcW w:w="0" w:type="auto"/>
            <w:vAlign w:val="center"/>
            <w:hideMark/>
          </w:tcPr>
          <w:p w14:paraId="4096A73D" w14:textId="77777777" w:rsidR="00B018E2" w:rsidRPr="00B018E2" w:rsidRDefault="00B018E2" w:rsidP="00B018E2">
            <w:r w:rsidRPr="00B018E2">
              <w:t>LT: I can describe solubility and identify factors that affect it.</w:t>
            </w:r>
          </w:p>
        </w:tc>
        <w:tc>
          <w:tcPr>
            <w:tcW w:w="0" w:type="auto"/>
            <w:vAlign w:val="center"/>
            <w:hideMark/>
          </w:tcPr>
          <w:p w14:paraId="6E9A98AA" w14:textId="77777777" w:rsidR="00B018E2" w:rsidRPr="00B018E2" w:rsidRDefault="00B018E2" w:rsidP="00B018E2">
            <w:r w:rsidRPr="00B018E2">
              <w:t>SC1: I can define solubility in scientific terms. SC2: I can explain how temperature affects solubility.</w:t>
            </w:r>
          </w:p>
        </w:tc>
        <w:tc>
          <w:tcPr>
            <w:tcW w:w="0" w:type="auto"/>
            <w:vAlign w:val="center"/>
            <w:hideMark/>
          </w:tcPr>
          <w:p w14:paraId="3BDFA9DE" w14:textId="77777777" w:rsidR="00B018E2" w:rsidRPr="00B018E2" w:rsidRDefault="00B018E2" w:rsidP="00B018E2">
            <w:r w:rsidRPr="00B018E2">
              <w:rPr>
                <w:b/>
                <w:bCs/>
              </w:rPr>
              <w:t>Quick Write</w:t>
            </w:r>
            <w:r w:rsidRPr="00B018E2">
              <w:t xml:space="preserve">: “Why does sugar dissolve faster in hot tea?” </w:t>
            </w:r>
            <w:r w:rsidRPr="00B018E2">
              <w:rPr>
                <w:i/>
                <w:iCs/>
              </w:rPr>
              <w:t>(Quick Write – Literacy Strategy)</w:t>
            </w:r>
          </w:p>
        </w:tc>
        <w:tc>
          <w:tcPr>
            <w:tcW w:w="0" w:type="auto"/>
            <w:vAlign w:val="center"/>
            <w:hideMark/>
          </w:tcPr>
          <w:p w14:paraId="0E848A16" w14:textId="77777777" w:rsidR="00B018E2" w:rsidRPr="00B018E2" w:rsidRDefault="00B018E2" w:rsidP="00B018E2">
            <w:r w:rsidRPr="00B018E2">
              <w:rPr>
                <w:b/>
                <w:bCs/>
              </w:rPr>
              <w:t>Direct Instruction</w:t>
            </w:r>
            <w:r w:rsidRPr="00B018E2">
              <w:t xml:space="preserve"> with visuals: Define solubility, saturation, supersaturation; show examples using anchor chart. </w:t>
            </w:r>
            <w:r w:rsidRPr="00B018E2">
              <w:rPr>
                <w:i/>
                <w:iCs/>
              </w:rPr>
              <w:t>(Modeling with Think-Aloud)</w:t>
            </w:r>
          </w:p>
        </w:tc>
        <w:tc>
          <w:tcPr>
            <w:tcW w:w="0" w:type="auto"/>
            <w:vAlign w:val="center"/>
            <w:hideMark/>
          </w:tcPr>
          <w:p w14:paraId="0DB218B4" w14:textId="77777777" w:rsidR="00B018E2" w:rsidRPr="00B018E2" w:rsidRDefault="00B018E2" w:rsidP="00B018E2">
            <w:r w:rsidRPr="00B018E2">
              <w:rPr>
                <w:b/>
                <w:bCs/>
              </w:rPr>
              <w:t>Graphic Organizer (Guided):</w:t>
            </w:r>
            <w:r w:rsidRPr="00B018E2">
              <w:t xml:space="preserve"> Complete a solubility factors chart with teacher support.</w:t>
            </w:r>
          </w:p>
        </w:tc>
        <w:tc>
          <w:tcPr>
            <w:tcW w:w="0" w:type="auto"/>
            <w:vAlign w:val="center"/>
            <w:hideMark/>
          </w:tcPr>
          <w:p w14:paraId="046A7967" w14:textId="77777777" w:rsidR="00B018E2" w:rsidRPr="00B018E2" w:rsidRDefault="00B018E2" w:rsidP="00B018E2">
            <w:r w:rsidRPr="00B018E2">
              <w:rPr>
                <w:b/>
                <w:bCs/>
              </w:rPr>
              <w:t>Think-Pair-Share:</w:t>
            </w:r>
            <w:r w:rsidRPr="00B018E2">
              <w:t xml:space="preserve"> Discuss how temperature and agitation influence dissolving rate.</w:t>
            </w:r>
          </w:p>
        </w:tc>
        <w:tc>
          <w:tcPr>
            <w:tcW w:w="0" w:type="auto"/>
            <w:vAlign w:val="center"/>
            <w:hideMark/>
          </w:tcPr>
          <w:p w14:paraId="03C006E4" w14:textId="77777777" w:rsidR="00B018E2" w:rsidRPr="00B018E2" w:rsidRDefault="00B018E2" w:rsidP="00B018E2">
            <w:r w:rsidRPr="00B018E2">
              <w:rPr>
                <w:b/>
                <w:bCs/>
              </w:rPr>
              <w:t>Graphic Organizer (Independent):</w:t>
            </w:r>
            <w:r w:rsidRPr="00B018E2">
              <w:t xml:space="preserve"> Summarize key factors influencing solubility.</w:t>
            </w:r>
          </w:p>
        </w:tc>
        <w:tc>
          <w:tcPr>
            <w:tcW w:w="0" w:type="auto"/>
            <w:vAlign w:val="center"/>
            <w:hideMark/>
          </w:tcPr>
          <w:p w14:paraId="78D4FB38" w14:textId="77777777" w:rsidR="00B018E2" w:rsidRPr="00B018E2" w:rsidRDefault="00B018E2" w:rsidP="00B018E2">
            <w:r w:rsidRPr="00B018E2">
              <w:rPr>
                <w:b/>
                <w:bCs/>
              </w:rPr>
              <w:t>Exit Ticket:</w:t>
            </w:r>
            <w:r w:rsidRPr="00B018E2">
              <w:t xml:space="preserve"> “List two factors that affect solubility.” </w:t>
            </w:r>
            <w:r w:rsidRPr="00B018E2">
              <w:rPr>
                <w:i/>
                <w:iCs/>
              </w:rPr>
              <w:t>(Exit Ticket)</w:t>
            </w:r>
          </w:p>
        </w:tc>
      </w:tr>
      <w:tr w:rsidR="001B3466" w:rsidRPr="00B018E2" w14:paraId="0CDFF8F1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CAC7D31" w14:textId="77777777" w:rsidR="00B018E2" w:rsidRPr="00B018E2" w:rsidRDefault="00B018E2" w:rsidP="00B018E2">
            <w:r w:rsidRPr="00B018E2">
              <w:rPr>
                <w:b/>
                <w:bCs/>
              </w:rPr>
              <w:t>Tue (10/28)</w:t>
            </w:r>
          </w:p>
        </w:tc>
        <w:tc>
          <w:tcPr>
            <w:tcW w:w="0" w:type="auto"/>
            <w:vAlign w:val="center"/>
            <w:hideMark/>
          </w:tcPr>
          <w:p w14:paraId="004BBAA3" w14:textId="77777777" w:rsidR="00B018E2" w:rsidRPr="00B018E2" w:rsidRDefault="00B018E2" w:rsidP="00B018E2">
            <w:r w:rsidRPr="00B018E2">
              <w:t>LT: I can analyze how concentration of solutions is measured.</w:t>
            </w:r>
          </w:p>
        </w:tc>
        <w:tc>
          <w:tcPr>
            <w:tcW w:w="0" w:type="auto"/>
            <w:vAlign w:val="center"/>
            <w:hideMark/>
          </w:tcPr>
          <w:p w14:paraId="7443C02D" w14:textId="77777777" w:rsidR="00B018E2" w:rsidRPr="00B018E2" w:rsidRDefault="00B018E2" w:rsidP="00B018E2">
            <w:r w:rsidRPr="00B018E2">
              <w:t xml:space="preserve">SC1: I can calculate concentration qualitatively. SC2: I can distinguish between dilute and </w:t>
            </w:r>
            <w:r w:rsidRPr="00B018E2">
              <w:lastRenderedPageBreak/>
              <w:t>concentrated solutions.</w:t>
            </w:r>
          </w:p>
        </w:tc>
        <w:tc>
          <w:tcPr>
            <w:tcW w:w="0" w:type="auto"/>
            <w:vAlign w:val="center"/>
            <w:hideMark/>
          </w:tcPr>
          <w:p w14:paraId="66306AB2" w14:textId="77777777" w:rsidR="00B018E2" w:rsidRPr="00B018E2" w:rsidRDefault="00B018E2" w:rsidP="00B018E2">
            <w:r w:rsidRPr="00B018E2">
              <w:rPr>
                <w:b/>
                <w:bCs/>
              </w:rPr>
              <w:lastRenderedPageBreak/>
              <w:t>Anticipation Guide:</w:t>
            </w:r>
            <w:r w:rsidRPr="00B018E2">
              <w:t xml:space="preserve"> Students respond T/F to statements about concentration.</w:t>
            </w:r>
          </w:p>
        </w:tc>
        <w:tc>
          <w:tcPr>
            <w:tcW w:w="0" w:type="auto"/>
            <w:vAlign w:val="center"/>
            <w:hideMark/>
          </w:tcPr>
          <w:p w14:paraId="6A7A098D" w14:textId="77777777" w:rsidR="00B018E2" w:rsidRPr="00B018E2" w:rsidRDefault="00B018E2" w:rsidP="00B018E2">
            <w:r w:rsidRPr="00B018E2">
              <w:rPr>
                <w:b/>
                <w:bCs/>
              </w:rPr>
              <w:t>Modeling with Worked Example:</w:t>
            </w:r>
            <w:r w:rsidRPr="00B018E2">
              <w:t xml:space="preserve"> Teacher demonstrates simple concentration calculations.</w:t>
            </w:r>
          </w:p>
        </w:tc>
        <w:tc>
          <w:tcPr>
            <w:tcW w:w="0" w:type="auto"/>
            <w:vAlign w:val="center"/>
            <w:hideMark/>
          </w:tcPr>
          <w:p w14:paraId="66CD4CB9" w14:textId="77777777" w:rsidR="00B018E2" w:rsidRPr="00B018E2" w:rsidRDefault="00B018E2" w:rsidP="00B018E2">
            <w:r w:rsidRPr="00B018E2">
              <w:rPr>
                <w:b/>
                <w:bCs/>
              </w:rPr>
              <w:t>Reciprocal Teaching:</w:t>
            </w:r>
            <w:r w:rsidRPr="00B018E2">
              <w:t xml:space="preserve"> Students take turns explaining each step of a calculation. </w:t>
            </w:r>
            <w:r w:rsidRPr="00B018E2">
              <w:rPr>
                <w:i/>
                <w:iCs/>
              </w:rPr>
              <w:t>(Literacy Strategy)</w:t>
            </w:r>
          </w:p>
        </w:tc>
        <w:tc>
          <w:tcPr>
            <w:tcW w:w="0" w:type="auto"/>
            <w:vAlign w:val="center"/>
            <w:hideMark/>
          </w:tcPr>
          <w:p w14:paraId="6D0541A0" w14:textId="77777777" w:rsidR="00B018E2" w:rsidRPr="00B018E2" w:rsidRDefault="00B018E2" w:rsidP="00B018E2">
            <w:r w:rsidRPr="00B018E2">
              <w:rPr>
                <w:b/>
                <w:bCs/>
              </w:rPr>
              <w:t>Team Problem Solving:</w:t>
            </w:r>
            <w:r w:rsidRPr="00B018E2">
              <w:t xml:space="preserve"> Groups solve word problems involving concentration comparisons.</w:t>
            </w:r>
          </w:p>
        </w:tc>
        <w:tc>
          <w:tcPr>
            <w:tcW w:w="0" w:type="auto"/>
            <w:vAlign w:val="center"/>
            <w:hideMark/>
          </w:tcPr>
          <w:p w14:paraId="7DB390F4" w14:textId="77777777" w:rsidR="00B018E2" w:rsidRPr="00B018E2" w:rsidRDefault="00B018E2" w:rsidP="00B018E2">
            <w:r w:rsidRPr="00B018E2">
              <w:rPr>
                <w:b/>
                <w:bCs/>
              </w:rPr>
              <w:t>Independent Practice:</w:t>
            </w:r>
            <w:r w:rsidRPr="00B018E2">
              <w:t xml:space="preserve"> Practice problems on concentration.</w:t>
            </w:r>
          </w:p>
        </w:tc>
        <w:tc>
          <w:tcPr>
            <w:tcW w:w="0" w:type="auto"/>
            <w:vAlign w:val="center"/>
            <w:hideMark/>
          </w:tcPr>
          <w:p w14:paraId="6CCCEE54" w14:textId="77777777" w:rsidR="00B018E2" w:rsidRPr="00B018E2" w:rsidRDefault="00B018E2" w:rsidP="00B018E2">
            <w:r w:rsidRPr="00B018E2">
              <w:rPr>
                <w:b/>
                <w:bCs/>
              </w:rPr>
              <w:t>3-2-1 Summary:</w:t>
            </w:r>
            <w:r w:rsidRPr="00B018E2">
              <w:t xml:space="preserve"> 3 things learned, 2 interesting, 1 question.</w:t>
            </w:r>
          </w:p>
        </w:tc>
      </w:tr>
      <w:tr w:rsidR="001B3466" w:rsidRPr="00B018E2" w14:paraId="1CC32D3D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75DE2BD" w14:textId="77777777" w:rsidR="00B018E2" w:rsidRPr="00B018E2" w:rsidRDefault="00B018E2" w:rsidP="00B018E2">
            <w:r w:rsidRPr="00B018E2">
              <w:rPr>
                <w:b/>
                <w:bCs/>
              </w:rPr>
              <w:t>Wed (10/29)</w:t>
            </w:r>
          </w:p>
        </w:tc>
        <w:tc>
          <w:tcPr>
            <w:tcW w:w="0" w:type="auto"/>
            <w:vAlign w:val="center"/>
            <w:hideMark/>
          </w:tcPr>
          <w:p w14:paraId="37D00E14" w14:textId="77777777" w:rsidR="00B018E2" w:rsidRPr="00B018E2" w:rsidRDefault="00B018E2" w:rsidP="00B018E2">
            <w:r w:rsidRPr="00B018E2">
              <w:t>LT: I can calculate molarity of a solution.</w:t>
            </w:r>
          </w:p>
        </w:tc>
        <w:tc>
          <w:tcPr>
            <w:tcW w:w="0" w:type="auto"/>
            <w:vAlign w:val="center"/>
            <w:hideMark/>
          </w:tcPr>
          <w:p w14:paraId="43B8EF8E" w14:textId="77777777" w:rsidR="00B018E2" w:rsidRPr="00B018E2" w:rsidRDefault="00B018E2" w:rsidP="00B018E2">
            <w:r w:rsidRPr="00B018E2">
              <w:t>SC1: I can apply the molarity formula (M = mol/L). SC2: I can solve for moles or volume given other quantities.</w:t>
            </w:r>
          </w:p>
        </w:tc>
        <w:tc>
          <w:tcPr>
            <w:tcW w:w="0" w:type="auto"/>
            <w:vAlign w:val="center"/>
            <w:hideMark/>
          </w:tcPr>
          <w:p w14:paraId="28CAEFB5" w14:textId="77777777" w:rsidR="00B018E2" w:rsidRPr="00B018E2" w:rsidRDefault="00B018E2" w:rsidP="00B018E2">
            <w:r w:rsidRPr="00B018E2">
              <w:rPr>
                <w:b/>
                <w:bCs/>
              </w:rPr>
              <w:t>Do Now:</w:t>
            </w:r>
            <w:r w:rsidRPr="00B018E2">
              <w:t xml:space="preserve"> Review of concentration terms with examples.</w:t>
            </w:r>
          </w:p>
        </w:tc>
        <w:tc>
          <w:tcPr>
            <w:tcW w:w="0" w:type="auto"/>
            <w:vAlign w:val="center"/>
            <w:hideMark/>
          </w:tcPr>
          <w:p w14:paraId="0C5AB36C" w14:textId="77777777" w:rsidR="00B018E2" w:rsidRPr="00B018E2" w:rsidRDefault="00B018E2" w:rsidP="00B018E2">
            <w:r w:rsidRPr="00B018E2">
              <w:rPr>
                <w:b/>
                <w:bCs/>
              </w:rPr>
              <w:t>Direct Instruction (Think-Aloud):</w:t>
            </w:r>
            <w:r w:rsidRPr="00B018E2">
              <w:t xml:space="preserve"> Step-by-step molarity calculations.</w:t>
            </w:r>
          </w:p>
        </w:tc>
        <w:tc>
          <w:tcPr>
            <w:tcW w:w="0" w:type="auto"/>
            <w:vAlign w:val="center"/>
            <w:hideMark/>
          </w:tcPr>
          <w:p w14:paraId="0EA1E059" w14:textId="77777777" w:rsidR="00B018E2" w:rsidRPr="00B018E2" w:rsidRDefault="00B018E2" w:rsidP="00B018E2">
            <w:r w:rsidRPr="00B018E2">
              <w:rPr>
                <w:b/>
                <w:bCs/>
              </w:rPr>
              <w:t>Error Analysis:</w:t>
            </w:r>
            <w:r w:rsidRPr="00B018E2">
              <w:t xml:space="preserve"> Identify and correct mistakes in sample molarity problems. </w:t>
            </w:r>
            <w:r w:rsidRPr="00B018E2">
              <w:rPr>
                <w:i/>
                <w:iCs/>
              </w:rPr>
              <w:t>(High-Impact Strategy)</w:t>
            </w:r>
          </w:p>
        </w:tc>
        <w:tc>
          <w:tcPr>
            <w:tcW w:w="0" w:type="auto"/>
            <w:vAlign w:val="center"/>
            <w:hideMark/>
          </w:tcPr>
          <w:p w14:paraId="73286CF4" w14:textId="77777777" w:rsidR="00B018E2" w:rsidRPr="00B018E2" w:rsidRDefault="00B018E2" w:rsidP="00B018E2">
            <w:r w:rsidRPr="00B018E2">
              <w:rPr>
                <w:b/>
                <w:bCs/>
              </w:rPr>
              <w:t>Jigsaw:</w:t>
            </w:r>
            <w:r w:rsidRPr="00B018E2">
              <w:t xml:space="preserve"> Each group solves different molarity problem types (find M, mol, or L), then teaches peers.</w:t>
            </w:r>
          </w:p>
        </w:tc>
        <w:tc>
          <w:tcPr>
            <w:tcW w:w="0" w:type="auto"/>
            <w:vAlign w:val="center"/>
            <w:hideMark/>
          </w:tcPr>
          <w:p w14:paraId="70E8B670" w14:textId="77777777" w:rsidR="00B018E2" w:rsidRPr="00B018E2" w:rsidRDefault="00B018E2" w:rsidP="00B018E2">
            <w:r w:rsidRPr="00B018E2">
              <w:rPr>
                <w:b/>
                <w:bCs/>
              </w:rPr>
              <w:t>Performance Task:</w:t>
            </w:r>
            <w:r w:rsidRPr="00B018E2">
              <w:t xml:space="preserve"> Solve molarity word problems individually.</w:t>
            </w:r>
          </w:p>
        </w:tc>
        <w:tc>
          <w:tcPr>
            <w:tcW w:w="0" w:type="auto"/>
            <w:vAlign w:val="center"/>
            <w:hideMark/>
          </w:tcPr>
          <w:p w14:paraId="2AABD2D0" w14:textId="77777777" w:rsidR="00B018E2" w:rsidRPr="00B018E2" w:rsidRDefault="00B018E2" w:rsidP="00B018E2">
            <w:r w:rsidRPr="00B018E2">
              <w:rPr>
                <w:b/>
                <w:bCs/>
              </w:rPr>
              <w:t>Exit Ticket:</w:t>
            </w:r>
            <w:r w:rsidRPr="00B018E2">
              <w:t xml:space="preserve"> “What is the formula for molarity and what does each symbol mean?”</w:t>
            </w:r>
          </w:p>
        </w:tc>
      </w:tr>
      <w:tr w:rsidR="001B3466" w:rsidRPr="00B018E2" w14:paraId="7FD1F639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6AB2F11" w14:textId="77777777" w:rsidR="00B018E2" w:rsidRPr="00B018E2" w:rsidRDefault="00B018E2" w:rsidP="00B018E2">
            <w:r w:rsidRPr="00B018E2">
              <w:rPr>
                <w:b/>
                <w:bCs/>
              </w:rPr>
              <w:t>Thu (10/30)</w:t>
            </w:r>
          </w:p>
        </w:tc>
        <w:tc>
          <w:tcPr>
            <w:tcW w:w="0" w:type="auto"/>
            <w:vAlign w:val="center"/>
            <w:hideMark/>
          </w:tcPr>
          <w:p w14:paraId="7039519A" w14:textId="77777777" w:rsidR="00B018E2" w:rsidRPr="00B018E2" w:rsidRDefault="00B018E2" w:rsidP="00B018E2">
            <w:r w:rsidRPr="00B018E2">
              <w:t>LT: I can investigate factors affecting solubility using simulation.</w:t>
            </w:r>
          </w:p>
        </w:tc>
        <w:tc>
          <w:tcPr>
            <w:tcW w:w="0" w:type="auto"/>
            <w:vAlign w:val="center"/>
            <w:hideMark/>
          </w:tcPr>
          <w:p w14:paraId="61FC6426" w14:textId="77777777" w:rsidR="00B018E2" w:rsidRPr="00B018E2" w:rsidRDefault="00B018E2" w:rsidP="00B018E2">
            <w:r w:rsidRPr="00B018E2">
              <w:t>SC1: I can use data to explain effects of temperature and agitation on solubility. SC2: I can interpret a solubility curve.</w:t>
            </w:r>
          </w:p>
        </w:tc>
        <w:tc>
          <w:tcPr>
            <w:tcW w:w="0" w:type="auto"/>
            <w:vAlign w:val="center"/>
            <w:hideMark/>
          </w:tcPr>
          <w:p w14:paraId="2A9AF287" w14:textId="77777777" w:rsidR="00B018E2" w:rsidRPr="00B018E2" w:rsidRDefault="00B018E2" w:rsidP="00B018E2">
            <w:r w:rsidRPr="00B018E2">
              <w:rPr>
                <w:b/>
                <w:bCs/>
              </w:rPr>
              <w:t>KWL Chart:</w:t>
            </w:r>
            <w:r w:rsidRPr="00B018E2">
              <w:t xml:space="preserve"> Complete “K” and “W” before Gizmo simulation. </w:t>
            </w:r>
            <w:r w:rsidRPr="00B018E2">
              <w:rPr>
                <w:i/>
                <w:iCs/>
              </w:rPr>
              <w:t>(Activation Strategy)</w:t>
            </w:r>
          </w:p>
        </w:tc>
        <w:tc>
          <w:tcPr>
            <w:tcW w:w="0" w:type="auto"/>
            <w:vAlign w:val="center"/>
            <w:hideMark/>
          </w:tcPr>
          <w:p w14:paraId="1556EE07" w14:textId="77777777" w:rsidR="00B018E2" w:rsidRPr="00B018E2" w:rsidRDefault="00B018E2" w:rsidP="00B018E2">
            <w:r w:rsidRPr="00B018E2">
              <w:rPr>
                <w:b/>
                <w:bCs/>
              </w:rPr>
              <w:t>Demonstration / Gizmo Walkthrough:</w:t>
            </w:r>
            <w:r w:rsidRPr="00B018E2">
              <w:t xml:space="preserve"> Teacher models how to use the Gizmo Solubility Simulation.</w:t>
            </w:r>
          </w:p>
        </w:tc>
        <w:tc>
          <w:tcPr>
            <w:tcW w:w="0" w:type="auto"/>
            <w:vAlign w:val="center"/>
            <w:hideMark/>
          </w:tcPr>
          <w:p w14:paraId="42F632DF" w14:textId="77777777" w:rsidR="00B018E2" w:rsidRPr="00B018E2" w:rsidRDefault="00B018E2" w:rsidP="00B018E2">
            <w:r w:rsidRPr="00B018E2">
              <w:rPr>
                <w:b/>
                <w:bCs/>
              </w:rPr>
              <w:t>Collaborative Annotation:</w:t>
            </w:r>
            <w:r w:rsidRPr="00B018E2">
              <w:t xml:space="preserve"> Students annotate digital solubility graphs from Gizmo.</w:t>
            </w:r>
          </w:p>
        </w:tc>
        <w:tc>
          <w:tcPr>
            <w:tcW w:w="0" w:type="auto"/>
            <w:vAlign w:val="center"/>
            <w:hideMark/>
          </w:tcPr>
          <w:p w14:paraId="7A0A74EB" w14:textId="77777777" w:rsidR="00B018E2" w:rsidRPr="00B018E2" w:rsidRDefault="00B018E2" w:rsidP="00B018E2">
            <w:r w:rsidRPr="00B018E2">
              <w:rPr>
                <w:b/>
                <w:bCs/>
              </w:rPr>
              <w:t>Team Problem Solving:</w:t>
            </w:r>
            <w:r w:rsidRPr="00B018E2">
              <w:t xml:space="preserve"> Analyze and compare data from Gizmo simulation.</w:t>
            </w:r>
          </w:p>
        </w:tc>
        <w:tc>
          <w:tcPr>
            <w:tcW w:w="0" w:type="auto"/>
            <w:vAlign w:val="center"/>
            <w:hideMark/>
          </w:tcPr>
          <w:p w14:paraId="7E344863" w14:textId="77777777" w:rsidR="00B018E2" w:rsidRPr="00B018E2" w:rsidRDefault="00B018E2" w:rsidP="00B018E2">
            <w:r w:rsidRPr="00B018E2">
              <w:rPr>
                <w:b/>
                <w:bCs/>
              </w:rPr>
              <w:t>Digital Reflection:</w:t>
            </w:r>
            <w:r w:rsidRPr="00B018E2">
              <w:t xml:space="preserve"> Answer analysis questions in Canvas assignment.</w:t>
            </w:r>
          </w:p>
        </w:tc>
        <w:tc>
          <w:tcPr>
            <w:tcW w:w="0" w:type="auto"/>
            <w:vAlign w:val="center"/>
            <w:hideMark/>
          </w:tcPr>
          <w:p w14:paraId="36CA0942" w14:textId="77777777" w:rsidR="00B018E2" w:rsidRPr="00B018E2" w:rsidRDefault="00B018E2" w:rsidP="00B018E2">
            <w:r w:rsidRPr="00B018E2">
              <w:rPr>
                <w:b/>
                <w:bCs/>
              </w:rPr>
              <w:t>Peer Debrief:</w:t>
            </w:r>
            <w:r w:rsidRPr="00B018E2">
              <w:t xml:space="preserve"> Discuss what surprised them about solubility curves.</w:t>
            </w:r>
          </w:p>
        </w:tc>
      </w:tr>
      <w:tr w:rsidR="001B3466" w:rsidRPr="00B018E2" w14:paraId="2FDE8854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4DFF353" w14:textId="77777777" w:rsidR="00B018E2" w:rsidRPr="00B018E2" w:rsidRDefault="00B018E2" w:rsidP="00B018E2">
            <w:r w:rsidRPr="00B018E2">
              <w:rPr>
                <w:b/>
                <w:bCs/>
              </w:rPr>
              <w:t>Fri (10/31)</w:t>
            </w:r>
          </w:p>
        </w:tc>
        <w:tc>
          <w:tcPr>
            <w:tcW w:w="0" w:type="auto"/>
            <w:vAlign w:val="center"/>
            <w:hideMark/>
          </w:tcPr>
          <w:p w14:paraId="0E86927E" w14:textId="77777777" w:rsidR="00B018E2" w:rsidRPr="00B018E2" w:rsidRDefault="00B018E2" w:rsidP="00B018E2">
            <w:r w:rsidRPr="00B018E2">
              <w:t>LT: I can apply solubility and concentration concepts to real-world problems.</w:t>
            </w:r>
          </w:p>
        </w:tc>
        <w:tc>
          <w:tcPr>
            <w:tcW w:w="0" w:type="auto"/>
            <w:vAlign w:val="center"/>
            <w:hideMark/>
          </w:tcPr>
          <w:p w14:paraId="5BAEAF5B" w14:textId="77777777" w:rsidR="00B018E2" w:rsidRPr="00B018E2" w:rsidRDefault="00B018E2" w:rsidP="00B018E2">
            <w:r w:rsidRPr="00B018E2">
              <w:t>SC1: I can design a plan to make a specific molarity solution. SC2: I can justify choices based on calculations.</w:t>
            </w:r>
          </w:p>
        </w:tc>
        <w:tc>
          <w:tcPr>
            <w:tcW w:w="0" w:type="auto"/>
            <w:vAlign w:val="center"/>
            <w:hideMark/>
          </w:tcPr>
          <w:p w14:paraId="578A301E" w14:textId="77777777" w:rsidR="00B018E2" w:rsidRPr="00B018E2" w:rsidRDefault="00B018E2" w:rsidP="00B018E2">
            <w:r w:rsidRPr="00B018E2">
              <w:rPr>
                <w:b/>
                <w:bCs/>
              </w:rPr>
              <w:t>Engaging Video with Prompt:</w:t>
            </w:r>
            <w:r w:rsidRPr="00B018E2">
              <w:t xml:space="preserve"> “Why can’t you dissolve more sugar in iced tea?”</w:t>
            </w:r>
          </w:p>
        </w:tc>
        <w:tc>
          <w:tcPr>
            <w:tcW w:w="0" w:type="auto"/>
            <w:vAlign w:val="center"/>
            <w:hideMark/>
          </w:tcPr>
          <w:p w14:paraId="6B64C49D" w14:textId="77777777" w:rsidR="00B018E2" w:rsidRPr="00B018E2" w:rsidRDefault="00B018E2" w:rsidP="00B018E2">
            <w:r w:rsidRPr="00B018E2">
              <w:rPr>
                <w:b/>
                <w:bCs/>
              </w:rPr>
              <w:t>Socratic Seminar:</w:t>
            </w:r>
            <w:r w:rsidRPr="00B018E2">
              <w:t xml:space="preserve"> Discuss real-world examples (e.g., ocean salinity, IV fluids). </w:t>
            </w:r>
            <w:r w:rsidRPr="00B018E2">
              <w:rPr>
                <w:i/>
                <w:iCs/>
              </w:rPr>
              <w:t>(Higher-order Literacy Strategy)</w:t>
            </w:r>
          </w:p>
        </w:tc>
        <w:tc>
          <w:tcPr>
            <w:tcW w:w="0" w:type="auto"/>
            <w:vAlign w:val="center"/>
            <w:hideMark/>
          </w:tcPr>
          <w:p w14:paraId="13D7B373" w14:textId="77777777" w:rsidR="00B018E2" w:rsidRPr="00B018E2" w:rsidRDefault="00B018E2" w:rsidP="00B018E2">
            <w:r w:rsidRPr="00B018E2">
              <w:rPr>
                <w:b/>
                <w:bCs/>
              </w:rPr>
              <w:t>Prompting &amp; Cueing:</w:t>
            </w:r>
            <w:r w:rsidRPr="00B018E2">
              <w:t xml:space="preserve"> Guide students to make evidence-based claims.</w:t>
            </w:r>
          </w:p>
        </w:tc>
        <w:tc>
          <w:tcPr>
            <w:tcW w:w="0" w:type="auto"/>
            <w:vAlign w:val="center"/>
            <w:hideMark/>
          </w:tcPr>
          <w:p w14:paraId="550BF25B" w14:textId="77777777" w:rsidR="00B018E2" w:rsidRPr="00B018E2" w:rsidRDefault="00B018E2" w:rsidP="00B018E2">
            <w:r w:rsidRPr="00B018E2">
              <w:rPr>
                <w:b/>
                <w:bCs/>
              </w:rPr>
              <w:t>Choice Board:</w:t>
            </w:r>
            <w:r w:rsidRPr="00B018E2">
              <w:t xml:space="preserve"> Students select task (infographic, mini-lab, or written explanation) applying solubility </w:t>
            </w:r>
            <w:r w:rsidRPr="00B018E2">
              <w:lastRenderedPageBreak/>
              <w:t xml:space="preserve">principles. </w:t>
            </w:r>
            <w:r w:rsidRPr="00B018E2">
              <w:rPr>
                <w:i/>
                <w:iCs/>
              </w:rPr>
              <w:t>(Choice Board Strategy)</w:t>
            </w:r>
          </w:p>
        </w:tc>
        <w:tc>
          <w:tcPr>
            <w:tcW w:w="0" w:type="auto"/>
            <w:vAlign w:val="center"/>
            <w:hideMark/>
          </w:tcPr>
          <w:p w14:paraId="465D7403" w14:textId="77777777" w:rsidR="00B018E2" w:rsidRPr="00B018E2" w:rsidRDefault="00B018E2" w:rsidP="00B018E2">
            <w:r w:rsidRPr="00B018E2">
              <w:rPr>
                <w:b/>
                <w:bCs/>
              </w:rPr>
              <w:lastRenderedPageBreak/>
              <w:t>Independent Reflection / Goal Setting:</w:t>
            </w:r>
            <w:r w:rsidRPr="00B018E2">
              <w:t xml:space="preserve"> Students evaluate their mastery and set next-week goals.</w:t>
            </w:r>
          </w:p>
        </w:tc>
        <w:tc>
          <w:tcPr>
            <w:tcW w:w="0" w:type="auto"/>
            <w:vAlign w:val="center"/>
            <w:hideMark/>
          </w:tcPr>
          <w:p w14:paraId="0A386099" w14:textId="77777777" w:rsidR="00B018E2" w:rsidRPr="00B018E2" w:rsidRDefault="00B018E2" w:rsidP="00B018E2">
            <w:r w:rsidRPr="00B018E2">
              <w:rPr>
                <w:b/>
                <w:bCs/>
              </w:rPr>
              <w:t>Revisit Learning Target:</w:t>
            </w:r>
            <w:r w:rsidRPr="00B018E2">
              <w:t xml:space="preserve"> Self-rate understanding 1–4 &amp; share takeaways.</w:t>
            </w:r>
          </w:p>
        </w:tc>
      </w:tr>
    </w:tbl>
    <w:p w14:paraId="055AB20A" w14:textId="77777777" w:rsidR="00AB17DD" w:rsidRDefault="00AB17DD" w:rsidP="004C5D59"/>
    <w:sectPr w:rsidR="00AB17DD" w:rsidSect="008716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E38"/>
    <w:multiLevelType w:val="multilevel"/>
    <w:tmpl w:val="63A6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C7"/>
    <w:rsid w:val="00035343"/>
    <w:rsid w:val="00177DCD"/>
    <w:rsid w:val="001B3466"/>
    <w:rsid w:val="004C5D59"/>
    <w:rsid w:val="00510281"/>
    <w:rsid w:val="006572E9"/>
    <w:rsid w:val="006C03C7"/>
    <w:rsid w:val="00764BD4"/>
    <w:rsid w:val="008716C0"/>
    <w:rsid w:val="008F5A8D"/>
    <w:rsid w:val="00967130"/>
    <w:rsid w:val="009E6658"/>
    <w:rsid w:val="00A664AA"/>
    <w:rsid w:val="00AB17DD"/>
    <w:rsid w:val="00B018E2"/>
    <w:rsid w:val="00E06B2B"/>
    <w:rsid w:val="00E906C8"/>
    <w:rsid w:val="00E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32AB"/>
  <w15:chartTrackingRefBased/>
  <w15:docId w15:val="{BFA1D005-9D1C-4F73-B407-EC9360A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f57019340fc7a5cd91dda3dd5293b0c2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60d90e29c0f1eb8b89afb6c03e45157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F859A5FE-14AA-4812-ACAC-B02F56919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178A1-1048-465B-BB45-A8EC46809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B8F58-4EA9-4CB2-832C-6210FAFF1196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7874e264-af70-4328-b507-da615942586d"/>
    <ds:schemaRef ds:uri="http://schemas.openxmlformats.org/package/2006/metadata/core-properties"/>
    <ds:schemaRef ds:uri="440a9b46-78a3-4ec3-aaf9-cb265e8b4dc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Williams, Brian</cp:lastModifiedBy>
  <cp:revision>2</cp:revision>
  <dcterms:created xsi:type="dcterms:W3CDTF">2025-10-24T12:05:00Z</dcterms:created>
  <dcterms:modified xsi:type="dcterms:W3CDTF">2025-10-24T12:05:00Z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